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t>Іноземна мова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t>ПРОГРАМА ДЛЯ ЗАГАЛЬНООСВІТНІХ НАВЧАЛЬНИХ ЗАКЛАДІВ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t>5—9 класи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ПОЯСНЮВАЛЬНА ЗАПИСКА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Основне призначення іноземної мови  — сприяти в оволодінні учнями уміннями і навичками спілкуватися в усній і писемній формах відповідно до мотивів, цілей і соціальних норм мовленнєвої поведінки у типових сферах і ситуаціях. Саме середня школа є тим навчальним закладом, де формуються базові механізми іншомовного спілкування, котрі у майбутньому випускники зможуть розвивати і удосконалювати відповідно до власних потреб.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Г</w:t>
      </w:r>
      <w:r w:rsidRPr="00335C15">
        <w:rPr>
          <w:rFonts w:ascii="Times New Roman" w:eastAsia="Times New Roman" w:hAnsi="Times New Roman" w:cs="Times New Roman"/>
          <w:b/>
          <w:bCs/>
          <w:spacing w:val="-2"/>
          <w:kern w:val="20"/>
          <w:sz w:val="24"/>
          <w:szCs w:val="24"/>
          <w:lang w:val="uk-UA" w:eastAsia="ru-RU"/>
        </w:rPr>
        <w:t>оловна мета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 xml:space="preserve"> навчання іноземної мови у загальноосвітніх нав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чальних закладах полягає у формуванні в учнів комунікативної компетенції, базою для якої є комунікативні уміння, сформовані на основі мовних знань і навичок. Розвиток комунікативної компетенції залежить від соціокультурних і соціолінгвістичних знань, умінь і навичок, які забезпечують входження особистості в інший соціум і сприяють її соціалізації в новому для неї суспільстві.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комунікативними уміннями є: 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уміння здійснювати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усномовленнєве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спілкування (у монологічній і діалогічній формах);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уміння розуміти зі слуху зміст автентичних текстів;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уміння читати і розуміти автентичні тексти різних жанрів і видів із різним рівнем розуміння змісту, розглядаючи їх як джерело різноманітної інформації і як засіб оволодіння нею;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уміння здійснювати спілкування у писемній формі відповідно до поставлених завдань;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уміння адекватно використовувати досвід, набутий у вивченні рідної мови, розглядаючи його як засіб усвідомленого оволодіння мовою іноземною;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335C15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val="uk-UA" w:eastAsia="uk-UA"/>
        </w:rPr>
        <w:t>міння використовувати у разі необхідності невербальні зас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оби спілкування за умови дефіциту наявних мовних засобів.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комунікативних умінь неможливий без оволодіння мовними засобами реалізації усного і писемного мовлення. Проте знання лексичного і граматичного матеріалу ще не забезпечує становлення комунікативних умінь. Необхідні уміння оперування цим матеріалом, а також використання його для породження і розпізнавання інформації у певних сферах спілкування. 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Комунікативні мовні компетенції формуються на основі взаємопов’язаного мовленнєвого, соціокультурного, соціолінгвістичного і мовного розвитку учнів відповідно до їхніх вікових особливостей та інтересів на кожному етапі оволодіння іноземною мовою і складаються з: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мовної (лінгвістичної) компетенції, яка забезпечує оволодіння учнями мовним матеріалом з метою використання його в усному і писемному мовленні;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соціолінгвістичної компетенції, яка забезпечує формування умінь користуватися у процесі спілкування мовленнєвими реаліями (зразками), особливими правилами мовленнєвої поведінки, характерними для країни, мова якої вивчається;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прагматичної компетенції, яка пов’язана зі знаннями принципів, за якими висловлювання організовуються, структуруються, використовуються для здійснення комунікативних функцій та узгоджуються згідно з інтерактивними та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трансактивними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схемами. 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процесі навчання іноземної мови формуються загальні компетенції, які складаються з: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декларативних знань, що включають знання світу, соціокультурні знання та міжкультурне усвідомлення; соціокультурна компетенція передбачає засвоєння учнями знань соціокультурних особливостей країни, мова якої вивчається, культурних цінностей та морально-етичних норм свого та інших народів, а також формування умінь їх використовувати у практичній діяльності;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практичних та міжкультурних умінь і навичок, таких як соціальні вміння, навички повсякденного життя тощо;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“компетенції існування”, яка пов’язана з індивідуальними особливостями поведінки, мотивацій, цінностей, ідеалів та типу особистості; </w:t>
      </w:r>
    </w:p>
    <w:p w:rsidR="00335C15" w:rsidRPr="00335C15" w:rsidRDefault="00335C15" w:rsidP="00335C15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загальнонавчальних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компетенцій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(вміння вчитися), що сприяють оволодінню учнями стратегіями мовленнєвої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дiяльності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спрямованої на розв’язання навчальних завдань і життєвих проблем.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навчання реалізуються також освітня, виховна і розвивальна цілі. 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мета передбачає формування в учнів таких особистісних якостей як: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усвідомлення функцій іноземної мови у навчальному процесі й у суспільстві;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усвідомлення значень мовних явищ, іншої системи понять, за допомогою якої сприймається дійсність;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розуміння особливостей власного мислення;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зіставлення іноземної мови з рідною;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val="uk-UA" w:eastAsia="ru-RU"/>
        </w:rPr>
        <w:t>— оволодіння знаннями про культуру, історію, реалії та традиції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Pr="00335C15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val="uk-UA" w:eastAsia="ru-RU"/>
        </w:rPr>
        <w:t>раїни, мова якої вивчається (країнознавство, лінгвокраїнознавство)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залучення учнів до діалогу культур (іншомовної та рідної);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уміння використовувати у разі необхідності різноманітні ст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ратегії для задоволення дидактичних потреб (працювати з кни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жкою, підручником, словником, довідковою літературою, мультимедійними засобами тощо).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Засобами іноземної мови відбувається виховання учнів, яке зд</w:t>
      </w:r>
      <w:r w:rsidRPr="00335C15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val="uk-UA" w:eastAsia="ru-RU"/>
        </w:rPr>
        <w:t>ійснюється через систему особистісних стосунків із новою ку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льт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урою і процесом оволодіння нею. Цьому сприяє виховання в учнів: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культури спілкування, прийнятої в сучасному цивілізованому світі;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емоційно-ціннісного ставлення до всього, що нас оточує;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розуміння важливості оволодіння іноземною мовою і потреби користуватися нею як засобом спілкування.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іноземною мовою сприяє розвитку в учнів: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мовних, інтелектуальних і пізнавальних здібностей;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готовності брати участь в іншомовному спілкуванні;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бажання до подальшого самовдосконалення у галузі володіння іноземною мовою;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уміння переносу знань і навичок у нову ситуацію шляхом виконання проблемно-пошукової діяльності.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цілі навчання досягаються у комплексі, підпорядковуються головній меті та реалізуються у процесі її досягнення і сприяють таким чином різнобічному розвитку особистості учня.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Оволодіння учнями іноземною мовою сприяє розвитку в них здібностей використовувати її як інструмент спілкування в діалозі культур і цивілізацій сучасного світу, вона розглядається як засіб міжособистісної взаємодії в умовах багатонаціонального і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полiкультурного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світового простору.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учасний розвиток міжнародних зв’язків між державами слугу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ередумовою для активізації знань про культурні особливості краї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і народів, мова яких вивчається. Цьому сприяє міжкультурний підхід до вивчення іноземної мови. Вона є суттєвим елементом культури народу — носія цієї мови і засобом передачі її іншим, допомагає учням пізнати духовне багатство іншого народу, краще р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озуміти власну культуру і культуру свого народу, підвищує рівен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 їхньої гуманітарної освіти, сприяє входженню у світову спільноту.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навчання іноземної мови у середній школі залежить від соціального замовлення суспільства і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детермінується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певним станом його історичного розвитку. Програмою для середньої школи визначено той мінімум, яким мають оволодіти учні на кожному етапі навчання (у початковій школі, в основній школі, у старшій школі) і у кожному класі. Етапи навчання характеризується різною тематикою для спілкування, різним обсягом навчального матеріалу, різними методами, формами і видами навчальної діяльності відповідно до рівня розвитку учнів, їхніх інтересів і досвіду. У зв’язку з цим етапи мають свої </w:t>
      </w:r>
      <w:r w:rsidRPr="00335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цілі і завдання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335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основній школі (5—9 класи) 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розпочинається етап систематичної й послідовної роботи з автентичними навчальними матеріалами, які забезпечують нормативне оволодіння спілкуванням. Помітно зростає обсяг навчального матеріалу, у тому числі того, який сприяє формуванню соціокультурної та соціолінгвістичної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компетенцій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Чіткіше проявляється функція іноземної мови як засобу міжкультурного спілкування і як інструмента в діалозі культур і цивілізацій сучасного світу. Оволодіння іноземною мовою все частіше розглядається не як накопичення певної суми знань про мову, а як певний рівень сформованості навичок і вмінь використовувати мову для усного і писемного спілкування, як механізм пізнання інших народів і культур. Тематика для спілкування охоплює різноманітні галузі знань, серед них і ті, які були об’єктом вивчення на уроках з інших навчальних предметів (міжпредметні зв’язки), і з власного життєвого досвіду. Зростає доля самостійної роботи учнів, урізноманітнюються види навчальної діяльності, активно використовуються мовленнєві ситуації, що наближають навчальне спілкування до реальних умов. Учні оволодівають уміннями читати різножанрову літературу, розуміти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радіо-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телепрограми доступного рівня складності.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володіння іноземною мовою на кінець дев’ятого класу відповідає рівню А2 </w:t>
      </w:r>
      <w:r w:rsidRPr="00335C15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(в школах, де мова вивчається поглиблено, рівню А2+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згідно із “Загальноєвропейськими Рекомендаціями з мовної освіти: вивчення, викладання, оцінювання”.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те, що вводиться вивчення другої іноземної мови у загальноосвітніх навчальних закладах, та те, що на вивчення другої іноземної мови навчальним планом відводиться менша кількість годин, то, звичайно, рівень володіння уміннями й навичками у всіх видах мовленнєвої діяльності буде дещо відрізнятися від результатів, досягнутих у вивченні першої іноземної мови (як за якісними, так і за кількісними показниками).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Вважається недоцільним у навчанні другої іноземної мови надавати перевагу якомусь одному або двом—трьом видам мовленнєвої діяльності. Навчальний процес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організується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такий спосіб, щоб сприяти формуванню в учнів умінь і навичок  усного (говоріння, аудіювання) і писемного (читання, письмо) мовлення. Процес навчання всіх видів мовленнєвої діяльності має здійснюватися паралельно і взаємопов’язано. Варто зазначити, що у 5-му класі, з огляду на вікові особливості учнів і їхній навчальний досвід, не рекомендується введення вступних (пропедевтичних) курсів. Навчання варто розпочинати відразу з формування в учнів навичок і вмінь з певної теми. У зв’язку з цим фонетичний аспект мовлення має засвоюватися безпосередньо у практичній діяльності під час оволодіння тематичним лексичним і граматичним матеріалом. Робота над вимовою здійснюється постійно упродовж усього курсу навчання.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зазначити, що значна кількість вправ і завдань, а також видів навчальної діяльності, які широко використовувались у навчанні першої іноземної мови і співвідносилися з віковими особливостями учнів, не завжди будуть методично доцільними для навчання другої іноземної 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мови. Необхідно застерегти від прямого перенесення всіх видів навчальної діяльності, які використовувались у початковій школі під час навчання першої іноземної мови, на початковий етап у вивченні другої іноземної мови. Учите</w:t>
      </w:r>
      <w:r w:rsidRPr="00335C15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val="uk-UA" w:eastAsia="ru-RU"/>
        </w:rPr>
        <w:t>ль має добирати такі види вправ і завдань та використовувати такі</w:t>
      </w: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види навчальної діяльності, які б співвідносилися із зазначеними вище чинниками. Всі вправи і завдання мають бути комунікативно спрямованими, а навчальні дії учнів — чітко вмотивованими.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основі навчання лексики й граматики лежить принцип випереджаючого усного засвоєння мовленнєвих зразків через комунікативні завдання, після чого йде аналіз та подальше використання цього матеріалу в мовній практиці. Згідно з </w:t>
      </w:r>
      <w:proofErr w:type="spellStart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комунiкативним</w:t>
      </w:r>
      <w:proofErr w:type="spellEnd"/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підходом до навчання новий мовний матеріал (лексичний і граматичний) спочатку пред’являється у певному контексті, а вже потім активізується в усному і писемному мовленні за допомогою відповідних вправ і завдань. Вони мають бути комунікативно спрямованими і сприяти формуванню в учнів знань не тільки про значення нової мовної одиниці, але й про її формоутворення та функції (застосування) у мовленні. На основі цих знань мають формуватися відповідні мовні навички. Такий комунікативно-когнітивний підхід до сприймання мовного матеріалу сприяє усвідомленому його засвоєнню і адекватному використанню у практичній мовленнєвій діяльності.</w:t>
      </w:r>
    </w:p>
    <w:p w:rsidR="00335C15" w:rsidRPr="00335C15" w:rsidRDefault="00335C15" w:rsidP="00335C15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5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усного і писемного спілкування відбувається у межах сфер і тем, передбачених програмою для навчання першої іноземної мови. Звичайно, рівень володіння кожним видом мовленнєвої діяльності буде дещо нижчим, ніж його аналог у вивченні першої іноземної мови. Він відповідатиме рівню А2+, визначеному і описаному в загальноєвропейських рекомендаціях з мовної освіти.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  <w:bookmarkStart w:id="0" w:name="_GoBack"/>
      <w:bookmarkEnd w:id="0"/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430" w:lineRule="atLeas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t>АН</w:t>
      </w:r>
      <w:r w:rsidRPr="00335C15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ГЛІЙСЬКА МОВА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5-й клас</w:t>
      </w:r>
    </w:p>
    <w:p w:rsidR="00335C15" w:rsidRPr="00335C15" w:rsidRDefault="00335C15" w:rsidP="00335C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985"/>
        <w:gridCol w:w="2267"/>
        <w:gridCol w:w="1557"/>
        <w:gridCol w:w="20"/>
        <w:gridCol w:w="1965"/>
        <w:gridCol w:w="994"/>
        <w:gridCol w:w="2408"/>
        <w:gridCol w:w="1868"/>
        <w:gridCol w:w="20"/>
      </w:tblGrid>
      <w:tr w:rsidR="00335C15" w:rsidRPr="00335C15" w:rsidTr="002322B8">
        <w:trPr>
          <w:gridAfter w:val="1"/>
          <w:wAfter w:w="7" w:type="pct"/>
          <w:trHeight w:val="146"/>
        </w:trPr>
        <w:tc>
          <w:tcPr>
            <w:tcW w:w="446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Сфери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спiлкування</w:t>
            </w:r>
            <w:proofErr w:type="spellEnd"/>
          </w:p>
        </w:tc>
        <w:tc>
          <w:tcPr>
            <w:tcW w:w="691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</w:t>
            </w:r>
            <w:r w:rsidRPr="00335C15">
              <w:rPr>
                <w:rFonts w:ascii="Times New Roman" w:eastAsia="Times New Roman" w:hAnsi="Times New Roman" w:cs="Times New Roman"/>
                <w:spacing w:val="-3"/>
                <w:kern w:val="14"/>
                <w:sz w:val="16"/>
                <w:szCs w:val="16"/>
                <w:lang w:val="uk-UA" w:eastAsia="uk-UA"/>
              </w:rPr>
              <w:t>ематика с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итуативного спілкування</w:t>
            </w:r>
          </w:p>
        </w:tc>
        <w:tc>
          <w:tcPr>
            <w:tcW w:w="789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Мовленнєві функції</w:t>
            </w:r>
          </w:p>
        </w:tc>
        <w:tc>
          <w:tcPr>
            <w:tcW w:w="1579" w:type="pct"/>
            <w:gridSpan w:val="4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9"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Лінгвістичні компетенції</w:t>
            </w:r>
          </w:p>
        </w:tc>
        <w:tc>
          <w:tcPr>
            <w:tcW w:w="838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Соціокультурна компетенція</w:t>
            </w:r>
          </w:p>
        </w:tc>
        <w:tc>
          <w:tcPr>
            <w:tcW w:w="650" w:type="pct"/>
            <w:tcBorders>
              <w:bottom w:val="nil"/>
            </w:tcBorders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Загальнонавчальна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компетенція</w:t>
            </w:r>
          </w:p>
        </w:tc>
      </w:tr>
      <w:tr w:rsidR="00335C15" w:rsidRPr="00335C15" w:rsidTr="002322B8">
        <w:trPr>
          <w:trHeight w:val="146"/>
        </w:trPr>
        <w:tc>
          <w:tcPr>
            <w:tcW w:w="446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89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42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Лексична</w:t>
            </w:r>
          </w:p>
        </w:tc>
        <w:tc>
          <w:tcPr>
            <w:tcW w:w="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Граматична</w:t>
            </w:r>
          </w:p>
        </w:tc>
        <w:tc>
          <w:tcPr>
            <w:tcW w:w="346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Фонетична</w:t>
            </w:r>
          </w:p>
        </w:tc>
        <w:tc>
          <w:tcPr>
            <w:tcW w:w="838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335C15" w:rsidRPr="00335C15" w:rsidTr="002322B8">
        <w:trPr>
          <w:cantSplit/>
          <w:trHeight w:val="9488"/>
        </w:trPr>
        <w:tc>
          <w:tcPr>
            <w:tcW w:w="446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Особистісна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Публічна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Освітня</w:t>
            </w:r>
          </w:p>
        </w:tc>
        <w:tc>
          <w:tcPr>
            <w:tcW w:w="691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Я, моя сім’я, мої д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18"/>
                <w:sz w:val="16"/>
                <w:szCs w:val="16"/>
                <w:lang w:val="uk-UA" w:eastAsia="uk-UA"/>
              </w:rPr>
              <w:t>рузі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4"/>
                <w:kern w:val="18"/>
                <w:sz w:val="16"/>
                <w:szCs w:val="16"/>
                <w:lang w:val="uk-UA" w:eastAsia="uk-UA"/>
              </w:rPr>
              <w:t xml:space="preserve"> (мої р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одинні зв’язки, професії батьків, мої друзі та їх уподобання)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Одяг </w:t>
            </w: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(види одягу)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Харчування </w:t>
            </w: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(продукти харчування; улюблені страви)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Відпочин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о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>к і д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зв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ілля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(з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ах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опленн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я, вільний час,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канiкули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Природ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а.  (погода)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Подоро</w:t>
            </w:r>
            <w:r w:rsidRPr="00335C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ж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(загальні відомості про Велику Британію та Україну)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Рідне місто/ село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(місцезнаходження; основні історичні та культурні відомості)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Свята і традиції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(  національні свята України та Великої Британії)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45"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Шкільн</w:t>
            </w:r>
            <w:r w:rsidRPr="00335C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е життя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(навчальні предмети,  розклад уроків; 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9"/>
                <w:kern w:val="18"/>
                <w:sz w:val="16"/>
                <w:szCs w:val="16"/>
                <w:lang w:val="uk-UA" w:eastAsia="uk-UA"/>
              </w:rPr>
              <w:t xml:space="preserve"> уро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 іноземної мови)</w:t>
            </w:r>
          </w:p>
        </w:tc>
        <w:tc>
          <w:tcPr>
            <w:tcW w:w="789" w:type="pct"/>
          </w:tcPr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Описувати людей, розповідати, характеризувати особистість, 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розповідати про професії своїх близьких;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–розповідати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 друзів та їх уподобання;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описувати, порівнювати предмети;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надавати інформацію;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аргументувати свій вибір;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запитувати та надавати інформацію;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розпитувати з метою роз’яснення та уточнення інформації та  надавати необхідні відповіді;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пропонувати, приймати, відхиляти пропозицію.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42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Члени родини.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Професії.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Предмети одягу.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Продукти харчування.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Страви.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Види відпочинку та занять.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Назви свят.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Природні явища.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Навчальні предмети.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діяльності на уроці.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shd w:val="clear" w:color="auto" w:fill="auto"/>
          </w:tcPr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Дієслово: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Perfect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Загальні і спеціальні питання у видо-часових формах дієслова.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there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is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there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(із злі чуваними і незлі чуваними іменниками)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Модальне дієслово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should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Займенник: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об’єктний відмінок (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him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her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.); вказівні (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these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those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); питальні (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who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whose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which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where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when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),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неозначені 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some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any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,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no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; ступеню 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a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lot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(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of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);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much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/ 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en-US" w:eastAsia="ru-RU"/>
              </w:rPr>
              <w:t>many</w:t>
            </w:r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(із  </w:t>
            </w:r>
            <w:proofErr w:type="spellStart"/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>злічуваними</w:t>
            </w:r>
            <w:proofErr w:type="spellEnd"/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та </w:t>
            </w:r>
            <w:proofErr w:type="spellStart"/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>незлічуваними</w:t>
            </w:r>
            <w:proofErr w:type="spellEnd"/>
            <w:r w:rsidRPr="00335C15">
              <w:rPr>
                <w:rFonts w:ascii="Cambria" w:eastAsia="Times New Roman" w:hAnsi="Cambria" w:cs="Arial"/>
                <w:sz w:val="16"/>
                <w:szCs w:val="16"/>
                <w:lang w:val="uk-UA" w:eastAsia="ru-RU"/>
              </w:rPr>
              <w:t xml:space="preserve"> іменниками);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Прислівник: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частотні, часу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(yesterday, tomorrow, today, now, yet, already)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Прийменник: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часу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proofErr w:type="gram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 on, at, from…to…, by, during)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uk-UA" w:eastAsia="ru-RU"/>
              </w:rPr>
            </w:pP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46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Особливості інтонації речень з однорідними членами.</w:t>
            </w:r>
          </w:p>
        </w:tc>
        <w:tc>
          <w:tcPr>
            <w:tcW w:w="838" w:type="pct"/>
          </w:tcPr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—</w:t>
            </w:r>
            <w:r w:rsidRPr="00335C1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інтерес і поважне ставлення до ІМ і культури народу країни, мова якої вивчається;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52"/>
                <w:tab w:val="left" w:pos="335"/>
              </w:tabs>
              <w:spacing w:after="0" w:line="240" w:lineRule="auto"/>
              <w:ind w:left="56" w:hanging="1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розуміти та поважно ставитися до  особливостей стилю життя зарубіжних однолітків;  </w:t>
            </w:r>
            <w:r w:rsidRPr="00335C1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  <w:t xml:space="preserve">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здатність представляти культуру рідної країни;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57" w:type="pct"/>
            <w:gridSpan w:val="2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— уважно стежити за презентованою інформацією;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усвідомлювати мету поставленого завдання;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ефективно співпрацювати під час парної та групової роботи;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активно застосовувати мову, що вивчається;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 xml:space="preserve"> знаходити, ро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зуміти і при необхідності передавати нову інформацію.</w:t>
            </w:r>
          </w:p>
        </w:tc>
      </w:tr>
    </w:tbl>
    <w:p w:rsidR="00335C15" w:rsidRPr="00335C15" w:rsidRDefault="00335C15" w:rsidP="00335C1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  <w:sectPr w:rsidR="00335C15" w:rsidRPr="00335C15" w:rsidSect="00335C15">
          <w:footerReference w:type="even" r:id="rId6"/>
          <w:footerReference w:type="default" r:id="rId7"/>
          <w:pgSz w:w="15842" w:h="12242" w:orient="landscape"/>
          <w:pgMar w:top="142" w:right="720" w:bottom="426" w:left="720" w:header="709" w:footer="709" w:gutter="0"/>
          <w:cols w:space="720"/>
          <w:docGrid w:linePitch="381"/>
        </w:sect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lastRenderedPageBreak/>
        <w:t>НІМЕЦЬКА МОВА</w:t>
      </w: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  <w:t>5-й клас</w:t>
      </w:r>
    </w:p>
    <w:p w:rsidR="00335C15" w:rsidRPr="00335C15" w:rsidRDefault="00335C15" w:rsidP="00335C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83"/>
        <w:gridCol w:w="2267"/>
        <w:gridCol w:w="1560"/>
        <w:gridCol w:w="19"/>
        <w:gridCol w:w="1969"/>
        <w:gridCol w:w="1031"/>
        <w:gridCol w:w="2370"/>
        <w:gridCol w:w="1588"/>
      </w:tblGrid>
      <w:tr w:rsidR="00335C15" w:rsidRPr="00335C15" w:rsidTr="002322B8">
        <w:trPr>
          <w:trHeight w:val="535"/>
        </w:trPr>
        <w:tc>
          <w:tcPr>
            <w:tcW w:w="409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Сфери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спiлкування</w:t>
            </w:r>
            <w:proofErr w:type="spellEnd"/>
          </w:p>
        </w:tc>
        <w:tc>
          <w:tcPr>
            <w:tcW w:w="712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</w:t>
            </w:r>
            <w:r w:rsidRPr="00335C15">
              <w:rPr>
                <w:rFonts w:ascii="Times New Roman" w:eastAsia="Times New Roman" w:hAnsi="Times New Roman" w:cs="Times New Roman"/>
                <w:spacing w:val="-3"/>
                <w:kern w:val="14"/>
                <w:sz w:val="16"/>
                <w:szCs w:val="16"/>
                <w:lang w:val="uk-UA" w:eastAsia="uk-UA"/>
              </w:rPr>
              <w:t>ематика с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итуативного спілкування</w:t>
            </w:r>
          </w:p>
        </w:tc>
        <w:tc>
          <w:tcPr>
            <w:tcW w:w="814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Мовленнєві функції</w:t>
            </w:r>
          </w:p>
        </w:tc>
        <w:tc>
          <w:tcPr>
            <w:tcW w:w="1644" w:type="pct"/>
            <w:gridSpan w:val="4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Лінгвістичні компетенції</w:t>
            </w:r>
          </w:p>
        </w:tc>
        <w:tc>
          <w:tcPr>
            <w:tcW w:w="851" w:type="pct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Соціокультурна компетенція</w:t>
            </w:r>
          </w:p>
        </w:tc>
        <w:tc>
          <w:tcPr>
            <w:tcW w:w="563" w:type="pct"/>
            <w:tcBorders>
              <w:bottom w:val="nil"/>
            </w:tcBorders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Загальнонавчальна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компетенція</w:t>
            </w:r>
          </w:p>
        </w:tc>
      </w:tr>
      <w:tr w:rsidR="00335C15" w:rsidRPr="00335C15" w:rsidTr="002322B8">
        <w:trPr>
          <w:trHeight w:val="178"/>
        </w:trPr>
        <w:tc>
          <w:tcPr>
            <w:tcW w:w="409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12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14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60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Лексична</w:t>
            </w:r>
          </w:p>
        </w:tc>
        <w:tc>
          <w:tcPr>
            <w:tcW w:w="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Граматична</w:t>
            </w:r>
          </w:p>
        </w:tc>
        <w:tc>
          <w:tcPr>
            <w:tcW w:w="370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Фонетична</w:t>
            </w:r>
          </w:p>
        </w:tc>
        <w:tc>
          <w:tcPr>
            <w:tcW w:w="851" w:type="pct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335C15" w:rsidRPr="00335C15" w:rsidTr="002322B8">
        <w:trPr>
          <w:cantSplit/>
          <w:trHeight w:val="7069"/>
        </w:trPr>
        <w:tc>
          <w:tcPr>
            <w:tcW w:w="409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Особистісна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Публічна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2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Освітня</w:t>
            </w:r>
          </w:p>
        </w:tc>
        <w:tc>
          <w:tcPr>
            <w:tcW w:w="712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Я, моя сім’я, мої д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18"/>
                <w:sz w:val="16"/>
                <w:szCs w:val="16"/>
                <w:lang w:val="uk-UA" w:eastAsia="uk-UA"/>
              </w:rPr>
              <w:t>рузі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4"/>
                <w:kern w:val="18"/>
                <w:sz w:val="16"/>
                <w:szCs w:val="16"/>
                <w:lang w:val="uk-UA" w:eastAsia="uk-UA"/>
              </w:rPr>
              <w:t xml:space="preserve"> (члени родини; р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одинні зв’язки, професії батьків, мої друзі та їх уподобання)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Одяг </w:t>
            </w: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(предмети одягу; види одягу)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Харчування </w:t>
            </w: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uk-UA"/>
              </w:rPr>
              <w:t>(продукти харчування; улюблені страви; 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Відпочин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о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>к і д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зв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ілля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( з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ах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опленн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я, вільний час,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канiкули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18"/>
                <w:sz w:val="16"/>
                <w:szCs w:val="16"/>
                <w:lang w:val="uk-UA" w:eastAsia="uk-UA"/>
              </w:rPr>
              <w:t>Природ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а.  (погода; природні явища)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Подоро</w:t>
            </w:r>
            <w:r w:rsidRPr="00335C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ж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(загальні відомості про Німеччину та Україну)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Рідне місто/ село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(місцезнаходження; основні історичні та культурні відомості)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Свята і традиції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( національні свята України та Німеччини)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8"/>
                <w:sz w:val="16"/>
                <w:szCs w:val="16"/>
                <w:lang w:val="uk-UA" w:eastAsia="uk-UA"/>
              </w:rPr>
              <w:t>Шкільн</w:t>
            </w:r>
            <w:r w:rsidRPr="00335C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е життя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(навчальні предмети,  розклад уроків, 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9"/>
                <w:kern w:val="18"/>
                <w:sz w:val="16"/>
                <w:szCs w:val="16"/>
                <w:lang w:val="uk-UA" w:eastAsia="uk-UA"/>
              </w:rPr>
              <w:t xml:space="preserve"> уро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 іноземної мови.)</w:t>
            </w:r>
          </w:p>
        </w:tc>
        <w:tc>
          <w:tcPr>
            <w:tcW w:w="814" w:type="pct"/>
          </w:tcPr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описувати людей, характеризувати особистість, розповідати про професії своїх близьких, розповідати про друзів та їх уподобання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описувати, порівнювати предмети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аргументувати свій вибір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запитувати та надавати інформацію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розпитувати з метою роз’яснення та уточнення інформації та надавати необхідні відповіді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 пропонувати, приймати, відхиляти пропозицію</w:t>
            </w:r>
          </w:p>
          <w:p w:rsidR="00335C15" w:rsidRPr="00335C15" w:rsidRDefault="00335C15" w:rsidP="0033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60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Члени родини.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Професії.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Предмети одягу.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Продукти харчування.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Страви.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відпочинку та занять.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 свят. 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Природні явища.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Назви навчальних предметів.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Види діяльності на уроці.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Розклад уроків. </w:t>
            </w:r>
          </w:p>
        </w:tc>
        <w:tc>
          <w:tcPr>
            <w:tcW w:w="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7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Іменник: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Іменники в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Dat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Дієслово: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Imperativ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 Модальні дієслова y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Präsens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Минулий роз</w:t>
            </w:r>
            <w:r w:rsidRPr="00335C15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>мовний час (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spacing w:val="-4"/>
                <w:kern w:val="18"/>
                <w:sz w:val="16"/>
                <w:szCs w:val="16"/>
                <w:lang w:val="uk-UA" w:eastAsia="uk-UA"/>
              </w:rPr>
              <w:t>Pe</w:t>
            </w:r>
            <w:r w:rsidRPr="00335C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rfekt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). 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Прикметник: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Ступені порівняння.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Займенник: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Особові займенники в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Dat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i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Akk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Присвійні займенники в усіх відмінках, крім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Gen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. Безособовий займенник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es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 Питальні займенники.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Прийменник: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Прийменники з іменниками в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Akk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або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Dat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Речення: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Підрядні з’ясувальні речення.</w:t>
            </w:r>
          </w:p>
        </w:tc>
        <w:tc>
          <w:tcPr>
            <w:tcW w:w="370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Удоскона</w:t>
            </w:r>
            <w:r w:rsidRPr="00335C15">
              <w:rPr>
                <w:rFonts w:ascii="Times New Roman" w:eastAsia="Times New Roman" w:hAnsi="Times New Roman" w:cs="Times New Roman"/>
                <w:spacing w:val="-7"/>
                <w:kern w:val="18"/>
                <w:sz w:val="16"/>
                <w:szCs w:val="16"/>
                <w:lang w:val="uk-UA" w:eastAsia="uk-UA"/>
              </w:rPr>
              <w:t>лення зна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нь, навичок і вмінь, набут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их  у попе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редні роки навчання.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pct"/>
          </w:tcPr>
          <w:p w:rsidR="00335C15" w:rsidRPr="00335C15" w:rsidRDefault="00335C15" w:rsidP="00335C15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—</w:t>
            </w:r>
            <w:r w:rsidRPr="00335C1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інтерес і поважне ставлення до ІМ і культури народу країни, мова якої вивчається;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52"/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розуміти та поважно ставитися до  особливостей стилю життя зарубіжних однолітків;  </w:t>
            </w:r>
            <w:r w:rsidRPr="00335C1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  <w:t xml:space="preserve">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розвивати здатність представляти культуру рідної країни;  </w:t>
            </w:r>
          </w:p>
          <w:p w:rsidR="00335C15" w:rsidRPr="00335C15" w:rsidRDefault="00335C15" w:rsidP="00335C15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570" w:type="pc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00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— уважно стежити за презентованою інформацією;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усвідомлювати мету поставленого завдання;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ефективно співпрацювати під час парної та групової роботи;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 активно застосовувати мову, що вивчається;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—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pacing w:val="-5"/>
                <w:kern w:val="18"/>
                <w:sz w:val="16"/>
                <w:szCs w:val="16"/>
                <w:lang w:val="uk-UA" w:eastAsia="uk-UA"/>
              </w:rPr>
              <w:t xml:space="preserve"> знаходити, ро</w:t>
            </w:r>
            <w:r w:rsidRPr="0033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зуміти і при необхідності передавати нову інформацію.</w:t>
            </w:r>
          </w:p>
        </w:tc>
      </w:tr>
    </w:tbl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:rsidR="00335C15" w:rsidRPr="00335C15" w:rsidRDefault="00335C15" w:rsidP="00335C1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uk-UA" w:eastAsia="ru-RU"/>
        </w:rPr>
        <w:sectPr w:rsidR="00335C15" w:rsidRPr="00335C15">
          <w:pgSz w:w="15842" w:h="12242" w:orient="landscape"/>
          <w:pgMar w:top="851" w:right="851" w:bottom="851" w:left="851" w:header="709" w:footer="709" w:gutter="0"/>
          <w:cols w:space="720"/>
        </w:sect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3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lastRenderedPageBreak/>
        <w:t>МОВЛЕННЄВА КОМПЕТЕНЦІЯ</w:t>
      </w:r>
    </w:p>
    <w:p w:rsidR="00335C15" w:rsidRPr="00335C15" w:rsidRDefault="00335C15" w:rsidP="00335C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335C15" w:rsidRPr="00335C15" w:rsidRDefault="00335C15" w:rsidP="00335C15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3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</w:pPr>
      <w:r w:rsidRPr="00335C15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uk-UA"/>
        </w:rPr>
        <w:t>На кінець 5-го класу учні:</w:t>
      </w:r>
    </w:p>
    <w:p w:rsidR="00335C15" w:rsidRPr="00335C15" w:rsidRDefault="00335C15" w:rsidP="00335C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14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3363"/>
        <w:gridCol w:w="3402"/>
        <w:gridCol w:w="2520"/>
        <w:gridCol w:w="2242"/>
      </w:tblGrid>
      <w:tr w:rsidR="00335C15" w:rsidRPr="00335C15" w:rsidTr="002322B8">
        <w:trPr>
          <w:cantSplit/>
          <w:trHeight w:val="182"/>
        </w:trPr>
        <w:tc>
          <w:tcPr>
            <w:tcW w:w="2733" w:type="dxa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Аудіювання</w:t>
            </w:r>
          </w:p>
        </w:tc>
        <w:tc>
          <w:tcPr>
            <w:tcW w:w="6765" w:type="dxa"/>
            <w:gridSpan w:val="2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Говоріння</w:t>
            </w:r>
          </w:p>
        </w:tc>
        <w:tc>
          <w:tcPr>
            <w:tcW w:w="2520" w:type="dxa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Читання</w:t>
            </w:r>
          </w:p>
        </w:tc>
        <w:tc>
          <w:tcPr>
            <w:tcW w:w="2242" w:type="dxa"/>
            <w:vMerge w:val="restart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Письмо</w:t>
            </w:r>
          </w:p>
        </w:tc>
      </w:tr>
      <w:tr w:rsidR="00335C15" w:rsidRPr="00335C15" w:rsidTr="002322B8">
        <w:trPr>
          <w:trHeight w:val="182"/>
        </w:trPr>
        <w:tc>
          <w:tcPr>
            <w:tcW w:w="2733" w:type="dxa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363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Монологічне мовлення</w:t>
            </w:r>
          </w:p>
        </w:tc>
        <w:tc>
          <w:tcPr>
            <w:tcW w:w="3402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Діалогічне мовлення</w:t>
            </w:r>
          </w:p>
        </w:tc>
        <w:tc>
          <w:tcPr>
            <w:tcW w:w="2520" w:type="dxa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242" w:type="dxa"/>
            <w:vMerge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335C15" w:rsidRPr="00335C15" w:rsidTr="002322B8">
        <w:trPr>
          <w:trHeight w:val="3731"/>
        </w:trPr>
        <w:tc>
          <w:tcPr>
            <w:tcW w:w="2733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— розуміють чіткі вказівки, прохання тощо, щоб задовольнити конкретні потреби;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розуміють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зміст короткого повідомлення;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розуміють основний зміст прослуханих текстів різного характеру, які побудовані на засвоєному матеріалі.</w:t>
            </w:r>
          </w:p>
        </w:tc>
        <w:tc>
          <w:tcPr>
            <w:tcW w:w="3363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—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зв’язно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описують місце, явище, об’єкт, подію;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будують висловлювання з опорою на текст, ключові слова, серію малюнків тощо;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передають зміст почутого, побаченого, прочитаного;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роблять послідовний виклад минулих подій;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розповідають про певні події в особистому житті — своєму, своєї сім’ї, друзів.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Обсяг висловлювання — у межах 9 речень.</w:t>
            </w:r>
          </w:p>
        </w:tc>
        <w:tc>
          <w:tcPr>
            <w:tcW w:w="3402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— спілкуються, дотримуючись основних  норм, прийнятих у країнах, мова яких вивчається;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роблять пропозиції, використовуючи репліки спонукального характеру;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реагують на  пропозиції, твердження тощо;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обмінюються інформацією;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— під час спілкування демонструють володіння мовним та мовленнєвим </w:t>
            </w:r>
            <w:proofErr w:type="spellStart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матерiалом</w:t>
            </w:r>
            <w:proofErr w:type="spellEnd"/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, набутим у попередні роки.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Висловлення кожного — у межах 7 реплік, правильно оформлених у мовному відношенні.</w:t>
            </w:r>
          </w:p>
        </w:tc>
        <w:tc>
          <w:tcPr>
            <w:tcW w:w="2520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— читають з повним розуміння</w:t>
            </w:r>
            <w:r w:rsidRPr="00335C15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>м короткі тек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сти, побудовані на засвоєному мовному матеріалі;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</w:t>
            </w:r>
            <w:r w:rsidRPr="00335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знаходять  основну інформац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ію у  текстах рі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знопланового характеру (значення незнайомих слів розкривається на основі здогадки, малюнка, схожості з рідною мовою);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розуміють  зм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іст  л</w:t>
            </w:r>
            <w:r w:rsidRPr="00335C15">
              <w:rPr>
                <w:rFonts w:ascii="Times New Roman" w:eastAsia="Times New Roman" w:hAnsi="Times New Roman" w:cs="Times New Roman"/>
                <w:spacing w:val="-4"/>
                <w:kern w:val="18"/>
                <w:sz w:val="16"/>
                <w:szCs w:val="16"/>
                <w:lang w:val="uk-UA" w:eastAsia="uk-UA"/>
              </w:rPr>
              <w:t>истів, ли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стівок  осо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бистого характеру.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О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бсяг — у межах  400 д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рукованих знаків.</w:t>
            </w:r>
          </w:p>
        </w:tc>
        <w:tc>
          <w:tcPr>
            <w:tcW w:w="2242" w:type="dxa"/>
          </w:tcPr>
          <w:p w:rsidR="00335C15" w:rsidRPr="00335C15" w:rsidRDefault="00335C15" w:rsidP="00335C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— пишуть особистого листа  з опорою на зразок;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— пишуть короткі записки чи 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повідомл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ення з метою з</w:t>
            </w:r>
            <w:r w:rsidRPr="00335C15">
              <w:rPr>
                <w:rFonts w:ascii="Times New Roman" w:eastAsia="Times New Roman" w:hAnsi="Times New Roman" w:cs="Times New Roman"/>
                <w:spacing w:val="-2"/>
                <w:kern w:val="18"/>
                <w:sz w:val="16"/>
                <w:szCs w:val="16"/>
                <w:lang w:val="uk-UA" w:eastAsia="uk-UA"/>
              </w:rPr>
              <w:t>адоволенн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я побутових повсякденних потреб;</w:t>
            </w:r>
            <w:r w:rsidRPr="00335C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— Обсяг письмового повідомлення у межах 9 речень.</w:t>
            </w:r>
          </w:p>
        </w:tc>
      </w:tr>
    </w:tbl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5C15" w:rsidRPr="00335C15" w:rsidRDefault="00335C15" w:rsidP="00335C1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335C15" w:rsidRPr="00335C15" w:rsidSect="00335C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E8" w:rsidRDefault="00335C15" w:rsidP="006B4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E8" w:rsidRDefault="00335C15" w:rsidP="00137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E8" w:rsidRDefault="00335C15" w:rsidP="006B4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554E8" w:rsidRDefault="00335C15" w:rsidP="001374C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D"/>
    <w:rsid w:val="00335C15"/>
    <w:rsid w:val="008042E8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5C15"/>
  </w:style>
  <w:style w:type="character" w:styleId="a5">
    <w:name w:val="page number"/>
    <w:basedOn w:val="a0"/>
    <w:rsid w:val="0033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5C15"/>
  </w:style>
  <w:style w:type="character" w:styleId="a5">
    <w:name w:val="page number"/>
    <w:basedOn w:val="a0"/>
    <w:rsid w:val="0033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2801</Words>
  <Characters>15966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2013-09-11T17:03:00Z</dcterms:created>
  <dcterms:modified xsi:type="dcterms:W3CDTF">2013-09-11T17:05:00Z</dcterms:modified>
</cp:coreProperties>
</file>